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0E9B4B32">
      <w:pPr>
        <w:pBdr/>
        <w:spacing w:after="60"/>
        <w:ind/>
        <w:rPr/>
      </w:pPr>
      <w:r>
        <w:rPr>
          <w:b/>
          <w:bCs/>
          <w:color w:val="1f4e5f"/>
          <w:sz w:val="40"/>
          <w:szCs w:val="40"/>
          <w:highlight w:val="none"/>
        </w:rPr>
      </w:r>
      <w:r>
        <w:rPr>
          <w:b/>
          <w:bCs/>
          <w:color w:val="1f4e5f"/>
          <w:sz w:val="40"/>
          <w:szCs w:val="40"/>
          <w:highlight w:val="none"/>
        </w:rPr>
      </w:r>
      <w:r>
        <w:rPr>
          <w:b/>
          <w:bCs/>
          <w:color w:val="1f4e5f"/>
          <w:sz w:val="40"/>
          <w:szCs w:val="40"/>
          <w:highlight w:val="none"/>
        </w:rPr>
      </w:r>
    </w:p>
    <w:p w14:paraId="0E058DE5">
      <w:pPr>
        <w:pBdr/>
        <w:spacing w:after="60"/>
        <w:ind/>
        <w:rPr>
          <w:b/>
          <w:bCs/>
          <w:color w:val="1f4e5f"/>
          <w:sz w:val="40"/>
          <w:szCs w:val="40"/>
          <w:highlight w:val="none"/>
        </w:rPr>
      </w:pPr>
      <w:r>
        <w:rPr>
          <w:b/>
          <w:bCs/>
          <w:color w:val="1f4e5f"/>
          <w:sz w:val="40"/>
          <w:szCs w:val="40"/>
          <w:highlight w:val="none"/>
        </w:rPr>
      </w:r>
      <w:r>
        <w:rPr>
          <w:b/>
          <w:bCs/>
          <w:color w:val="1f4e5f"/>
          <w:sz w:val="40"/>
          <w:szCs w:val="40"/>
          <w:highlight w:val="none"/>
        </w:rPr>
      </w:r>
      <w:r>
        <w:rPr>
          <w:b/>
          <w:bCs/>
          <w:color w:val="1f4e5f"/>
          <w:sz w:val="40"/>
          <w:szCs w:val="40"/>
          <w:highlight w:val="none"/>
        </w:rPr>
      </w:r>
    </w:p>
    <w:p>
      <w:pPr>
        <w:pBdr/>
        <w:spacing w:after="60"/>
        <w:ind/>
        <w:rPr>
          <w:b/>
          <w:bCs/>
          <w:color w:val="1f4e5f"/>
          <w:sz w:val="40"/>
          <w:szCs w:val="40"/>
          <w:highlight w:val="none"/>
        </w:rPr>
      </w:pPr>
      <w:r>
        <w:rPr>
          <w:b/>
          <w:bCs/>
          <w:color w:val="1f4e5f"/>
          <w:sz w:val="40"/>
          <w:szCs w:val="40"/>
        </w:rPr>
        <w:t xml:space="preserve">Youth &amp; Democracy Community Encounter</w:t>
      </w:r>
      <w:r>
        <w:rPr>
          <w:b/>
          <w:bCs/>
          <w:color w:val="1f4e5f"/>
          <w:sz w:val="40"/>
          <w:szCs w:val="40"/>
          <w:lang w:val="es-ES"/>
        </w:rPr>
        <w:t xml:space="preserve">s</w:t>
      </w:r>
      <w:r>
        <w:rPr>
          <w:lang w:val="es-ES"/>
        </w:rPr>
      </w:r>
      <w:r/>
    </w:p>
    <w:p>
      <w:pPr>
        <w:pBdr/>
        <w:spacing w:after="60"/>
        <w:ind/>
        <w:rPr/>
      </w:pPr>
      <w:r>
        <w:rPr>
          <w:color w:val="595959"/>
          <w:sz w:val="26"/>
          <w:szCs w:val="26"/>
        </w:rPr>
        <w:t xml:space="preserve">Participant Evaluation and Feedback Report</w:t>
      </w:r>
      <w:r/>
    </w:p>
    <w:p>
      <w:pPr>
        <w:pBdr/>
        <w:spacing w:after="300"/>
        <w:ind/>
        <w:rPr/>
      </w:pPr>
      <w:r>
        <w:rPr>
          <w:i/>
          <w:iCs/>
          <w:color w:val="595959"/>
          <w:sz w:val="20"/>
          <w:szCs w:val="20"/>
        </w:rPr>
        <w:t xml:space="preserve">Gran Canaria  |  Youth4Values Project  |  19 participant responses</w:t>
      </w:r>
      <w:r/>
    </w:p>
    <w:p>
      <w:pPr>
        <w:pStyle w:val="723"/>
        <w:pBdr/>
        <w:spacing/>
        <w:ind/>
        <w:rPr/>
      </w:pPr>
      <w:r>
        <w:t xml:space="preserve">1. Overview</w:t>
      </w:r>
      <w:r/>
    </w:p>
    <w:p>
      <w:pPr>
        <w:pBdr/>
        <w:spacing w:after="200"/>
        <w:ind/>
        <w:rPr/>
      </w:pPr>
      <w:r>
        <w:t xml:space="preserve">This report summarises feedback collected from 19 young participants (ages 18–25) following a community encounter</w:t>
      </w:r>
      <w:r>
        <w:rPr>
          <w:lang w:val="es-ES"/>
        </w:rPr>
        <w:t xml:space="preserve">s</w:t>
      </w:r>
      <w:r>
        <w:t xml:space="preserve"> on youth and democracy held in Gran Canaria. The group brought together association members and unaffiliated youth from diverse ethnic </w:t>
      </w:r>
      <w:r>
        <w:t xml:space="preserve">backgrounds — including Moroccan, Senegalese, Canarian, mainland Spanish, and Erasmus participants — and from varied socioeconomic contexts. The programme included icebreaker activities, a presentation of the Youth4Values project, reflective small-group di</w:t>
      </w:r>
      <w:r>
        <w:t xml:space="preserve">scussions on democracy and youth participation, a comparison of group proposals with those developed under Youth4Values, and a closing session on European opportunities for local participation, including solidarity projects and EU-funded youth initiatives.</w:t>
      </w:r>
      <w:r/>
    </w:p>
    <w:p>
      <w:pPr>
        <w:pStyle w:val="723"/>
        <w:pBdr/>
        <w:spacing/>
        <w:ind/>
        <w:rPr/>
      </w:pPr>
      <w:r>
        <w:t xml:space="preserve">2. Overall Satisfaction</w:t>
      </w:r>
      <w:r/>
    </w:p>
    <w:p>
      <w:pPr>
        <w:pBdr/>
        <w:spacing w:after="200"/>
        <w:ind/>
        <w:rPr/>
      </w:pPr>
      <w:r>
        <w:t xml:space="preserve">Feedback was overwhelmingly positive. Nearly all participants confirmed that they enjoyed the activities and considered the experience valuable for their education, work, or civic and so</w:t>
      </w:r>
      <w:r>
        <w:t xml:space="preserve">cial participation. Several respondents specifically highlighted the value of bringing together young people from different backgrounds and realities — Moroccan, Senegalese, Canarian, mainland Spanish, and Erasmus students — in a shared space for dialogue.</w:t>
      </w:r>
      <w:r/>
    </w:p>
    <w:p>
      <w:pPr>
        <w:pStyle w:val="723"/>
        <w:pBdr/>
        <w:spacing/>
        <w:ind/>
        <w:rPr/>
      </w:pPr>
      <w:r>
        <w:t xml:space="preserve">3. Best-Rated Activities</w:t>
      </w:r>
      <w:r/>
    </w:p>
    <w:p>
      <w:pPr>
        <w:pBdr/>
        <w:spacing w:after="120"/>
        <w:ind/>
        <w:rPr/>
      </w:pPr>
      <w:r>
        <w:t xml:space="preserve">The "living museum" exercise and the small-group debates were the most frequently mentioned favourites, alongside the presentation of the Youth4Values project. Participants particularly valued:</w:t>
      </w:r>
      <w:r/>
    </w:p>
    <w:p>
      <w:pPr>
        <w:pStyle w:val="715"/>
        <w:numPr>
          <w:ilvl w:val="0"/>
          <w:numId w:val="2"/>
        </w:numPr>
        <w:pBdr/>
        <w:spacing w:after="80"/>
        <w:ind/>
        <w:rPr/>
      </w:pPr>
      <w:r>
        <w:t xml:space="preserve">The chance to speak openly about topics not usually discussed in other settings</w:t>
      </w:r>
      <w:r/>
    </w:p>
    <w:p>
      <w:pPr>
        <w:pStyle w:val="715"/>
        <w:numPr>
          <w:ilvl w:val="0"/>
          <w:numId w:val="2"/>
        </w:numPr>
        <w:pBdr/>
        <w:spacing w:after="80"/>
        <w:ind/>
        <w:rPr/>
      </w:pPr>
      <w:r>
        <w:t xml:space="preserve">Direct contact with public representatives and partner organisations</w:t>
      </w:r>
      <w:r/>
    </w:p>
    <w:p>
      <w:pPr>
        <w:pStyle w:val="715"/>
        <w:numPr>
          <w:ilvl w:val="0"/>
          <w:numId w:val="2"/>
        </w:numPr>
        <w:pBdr/>
        <w:spacing w:after="80"/>
        <w:ind/>
        <w:rPr/>
      </w:pPr>
      <w:r>
        <w:t xml:space="preserve">Learning about real examples and inspiring initiatives from other countries and entities</w:t>
      </w:r>
      <w:r/>
    </w:p>
    <w:p>
      <w:pPr>
        <w:pStyle w:val="715"/>
        <w:numPr>
          <w:ilvl w:val="0"/>
          <w:numId w:val="2"/>
        </w:numPr>
        <w:pBdr/>
        <w:spacing w:after="80"/>
        <w:ind/>
        <w:rPr/>
      </w:pPr>
      <w:r>
        <w:t xml:space="preserve">The diversity of profiles and perspectives in the room</w:t>
      </w:r>
      <w:r/>
    </w:p>
    <w:p>
      <w:pPr>
        <w:pStyle w:val="723"/>
        <w:pBdr/>
        <w:spacing/>
        <w:ind/>
        <w:rPr/>
      </w:pPr>
      <w:r>
        <w:t xml:space="preserve">4. Areas for Improvement</w:t>
      </w:r>
      <w:r/>
    </w:p>
    <w:p>
      <w:pPr>
        <w:pBdr/>
        <w:spacing w:after="120"/>
        <w:ind/>
        <w:rPr/>
      </w:pPr>
      <w:r>
        <w:t xml:space="preserve">The most repeated comment was that the group felt too small, with several participants wishing for more participants, more partner organisations, and more time for debate. Other recurring points:</w:t>
      </w:r>
      <w:r/>
    </w:p>
    <w:p>
      <w:pPr>
        <w:pStyle w:val="715"/>
        <w:numPr>
          <w:ilvl w:val="0"/>
          <w:numId w:val="2"/>
        </w:numPr>
        <w:pBdr/>
        <w:spacing w:after="80"/>
        <w:ind/>
        <w:rPr/>
      </w:pPr>
      <w:r>
        <w:t xml:space="preserve">Opening icebreaker activities felt a bit long or repetitive for some returning participants</w:t>
      </w:r>
      <w:r/>
    </w:p>
    <w:p>
      <w:pPr>
        <w:pStyle w:val="715"/>
        <w:numPr>
          <w:ilvl w:val="0"/>
          <w:numId w:val="2"/>
        </w:numPr>
        <w:pBdr/>
        <w:spacing w:after="80"/>
        <w:ind/>
        <w:rPr/>
      </w:pPr>
      <w:r>
        <w:t xml:space="preserve">The closing session (European funds / wrap-up) felt rushed and could have been deeper</w:t>
      </w:r>
      <w:r/>
    </w:p>
    <w:p>
      <w:pPr>
        <w:pStyle w:val="715"/>
        <w:numPr>
          <w:ilvl w:val="0"/>
          <w:numId w:val="2"/>
        </w:numPr>
        <w:pBdr/>
        <w:spacing w:after="80"/>
        <w:ind/>
        <w:rPr/>
      </w:pPr>
      <w:r>
        <w:t xml:space="preserve">A few suggested structuring some discussions around similar participant profiles</w:t>
      </w:r>
      <w:r/>
    </w:p>
    <w:p>
      <w:pPr>
        <w:pStyle w:val="723"/>
        <w:pBdr/>
        <w:spacing/>
        <w:ind/>
        <w:rPr/>
      </w:pPr>
      <w:r>
        <w:t xml:space="preserve">5. Facilitation</w:t>
      </w:r>
      <w:r/>
    </w:p>
    <w:p>
      <w:pPr>
        <w:pBdr/>
        <w:spacing w:after="200"/>
        <w:ind/>
        <w:rPr/>
      </w:pPr>
      <w:r>
        <w:t xml:space="preserve">Two facilitators emerge across the feedback collected over time. Earlier responses praised Mingo for explaini</w:t>
      </w:r>
      <w:r>
        <w:t xml:space="preserve">ng things "in a direct way" and managing time well. More recent responses focus on Jana, who is repeatedly described as warm, emotionally engaged, and especially effective at creating space for everyone to participate — including the more shy participants.</w:t>
      </w:r>
      <w:r/>
    </w:p>
    <w:p>
      <w:pPr>
        <w:pStyle w:val="723"/>
        <w:pBdr/>
        <w:spacing/>
        <w:ind/>
        <w:rPr/>
      </w:pPr>
      <w:r>
        <w:t xml:space="preserve">6. Highlighted Quotes</w:t>
      </w:r>
      <w:r/>
    </w:p>
    <w:p>
      <w:pPr>
        <w:pBdr>
          <w:left w:val="single" w:color="1f4e5f" w:sz="16" w:space="12"/>
        </w:pBdr>
        <w:spacing w:after="140"/>
        <w:ind w:left="360"/>
        <w:rPr/>
      </w:pPr>
      <w:r>
        <w:rPr>
          <w:i/>
          <w:iCs/>
          <w:color w:val="595959"/>
        </w:rPr>
        <w:t xml:space="preserve">“Because it put young people at the centre of the debate and helped make their needs and concerns visible.”</w:t>
      </w:r>
      <w:r/>
    </w:p>
    <w:p>
      <w:pPr>
        <w:pBdr>
          <w:left w:val="single" w:color="1f4e5f" w:sz="16" w:space="12"/>
        </w:pBdr>
        <w:spacing w:after="140"/>
        <w:ind w:left="360"/>
        <w:rPr/>
      </w:pPr>
      <w:r>
        <w:rPr>
          <w:i/>
          <w:iCs/>
          <w:color w:val="595959"/>
        </w:rPr>
        <w:t xml:space="preserve">“Jana brings a lot of energy and makes everyone feel free to speak, even the more shy ones among us.”</w:t>
      </w:r>
      <w:r/>
    </w:p>
    <w:p>
      <w:pPr>
        <w:pBdr>
          <w:left w:val="single" w:color="1f4e5f" w:sz="16" w:space="12"/>
        </w:pBdr>
        <w:spacing w:after="140"/>
        <w:ind w:left="360"/>
        <w:rPr/>
      </w:pPr>
      <w:r>
        <w:rPr>
          <w:i/>
          <w:iCs/>
          <w:color w:val="595959"/>
        </w:rPr>
        <w:t xml:space="preserve">“Mingo managed the timing well and encouraged participation. You can tell it's a topic he cares about.”</w:t>
      </w:r>
      <w:r/>
    </w:p>
    <w:p>
      <w:pPr>
        <w:pBdr>
          <w:left w:val="single" w:color="1f4e5f" w:sz="16" w:space="12"/>
        </w:pBdr>
        <w:spacing w:after="200"/>
        <w:ind w:left="360"/>
        <w:rPr/>
      </w:pPr>
      <w:r>
        <w:rPr>
          <w:i/>
          <w:iCs/>
          <w:color w:val="595959"/>
        </w:rPr>
        <w:t xml:space="preserve">“Yes, because I was able to share my opinion on democracy from my experience as a Senegalese person living here, and it felt like a safe space.”</w:t>
      </w:r>
      <w:r/>
    </w:p>
    <w:p>
      <w:pPr>
        <w:pStyle w:val="723"/>
        <w:pBdr/>
        <w:spacing/>
        <w:ind/>
        <w:rPr/>
      </w:pPr>
      <w:r>
        <w:t xml:space="preserve">7. Summary at a Glance</w:t>
      </w:r>
      <w:r/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120"/>
        <w:gridCol w:w="6240"/>
      </w:tblGrid>
      <w:tr>
        <w:trPr/>
        <w:tc>
          <w:tcPr>
            <w:shd w:val="clear" w:color="auto" w:fill="1f4e5f"/>
            <w:tcBorders/>
            <w:tcMar>
              <w:left w:w="120" w:type="dxa"/>
              <w:top w:w="100" w:type="dxa"/>
              <w:right w:w="120" w:type="dxa"/>
              <w:bottom w:w="100" w:type="dxa"/>
            </w:tcMar>
            <w:tcW w:w="3120" w:type="dxa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Dimension</w:t>
            </w:r>
            <w:r/>
          </w:p>
        </w:tc>
        <w:tc>
          <w:tcPr>
            <w:shd w:val="clear" w:color="auto" w:fill="1f4e5f"/>
            <w:tcBorders/>
            <w:tcMar>
              <w:left w:w="120" w:type="dxa"/>
              <w:top w:w="100" w:type="dxa"/>
              <w:right w:w="120" w:type="dxa"/>
              <w:bottom w:w="100" w:type="dxa"/>
            </w:tcMar>
            <w:tcW w:w="6240" w:type="dxa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Key Finding</w:t>
            </w:r>
            <w:r/>
          </w:p>
        </w:tc>
      </w:tr>
      <w:tr>
        <w:trPr/>
        <w:tc>
          <w:tcPr>
            <w:tcBorders/>
            <w:tcMar>
              <w:left w:w="120" w:type="dxa"/>
              <w:top w:w="100" w:type="dxa"/>
              <w:right w:w="120" w:type="dxa"/>
              <w:bottom w:w="100" w:type="dxa"/>
            </w:tcMar>
            <w:tcW w:w="3120" w:type="dxa"/>
          </w:tcPr>
          <w:p>
            <w:pPr>
              <w:pBdr/>
              <w:spacing/>
              <w:ind/>
              <w:rPr/>
            </w:pPr>
            <w:r>
              <w:rPr>
                <w:sz w:val="20"/>
                <w:szCs w:val="20"/>
              </w:rPr>
              <w:t xml:space="preserve">Overall satisfaction</w:t>
            </w:r>
            <w:r/>
          </w:p>
        </w:tc>
        <w:tc>
          <w:tcPr>
            <w:tcBorders/>
            <w:tcMar>
              <w:left w:w="120" w:type="dxa"/>
              <w:top w:w="100" w:type="dxa"/>
              <w:right w:w="120" w:type="dxa"/>
              <w:bottom w:w="100" w:type="dxa"/>
            </w:tcMar>
            <w:tcW w:w="6240" w:type="dxa"/>
          </w:tcPr>
          <w:p>
            <w:pPr>
              <w:pBdr/>
              <w:spacing/>
              <w:ind/>
              <w:rPr/>
            </w:pPr>
            <w:r>
              <w:rPr>
                <w:sz w:val="20"/>
                <w:szCs w:val="20"/>
              </w:rPr>
              <w:t xml:space="preserve">Almost unanimously positive ("Yes" across activities and usefulness)</w:t>
            </w:r>
            <w:r/>
          </w:p>
        </w:tc>
      </w:tr>
      <w:tr>
        <w:trPr/>
        <w:tc>
          <w:tcPr>
            <w:shd w:val="clear" w:color="auto" w:fill="eaf1f4"/>
            <w:tcBorders/>
            <w:tcMar>
              <w:left w:w="120" w:type="dxa"/>
              <w:top w:w="100" w:type="dxa"/>
              <w:right w:w="120" w:type="dxa"/>
              <w:bottom w:w="100" w:type="dxa"/>
            </w:tcMar>
            <w:tcW w:w="3120" w:type="dxa"/>
          </w:tcPr>
          <w:p>
            <w:pPr>
              <w:pBdr/>
              <w:spacing/>
              <w:ind/>
              <w:rPr/>
            </w:pPr>
            <w:r>
              <w:rPr>
                <w:sz w:val="20"/>
                <w:szCs w:val="20"/>
              </w:rPr>
              <w:t xml:space="preserve">Favourite activities</w:t>
            </w:r>
            <w:r/>
          </w:p>
        </w:tc>
        <w:tc>
          <w:tcPr>
            <w:shd w:val="clear" w:color="auto" w:fill="eaf1f4"/>
            <w:tcBorders/>
            <w:tcMar>
              <w:left w:w="120" w:type="dxa"/>
              <w:top w:w="100" w:type="dxa"/>
              <w:right w:w="120" w:type="dxa"/>
              <w:bottom w:w="100" w:type="dxa"/>
            </w:tcMar>
            <w:tcW w:w="6240" w:type="dxa"/>
          </w:tcPr>
          <w:p>
            <w:pPr>
              <w:pBdr/>
              <w:spacing/>
              <w:ind/>
              <w:rPr/>
            </w:pPr>
            <w:r>
              <w:rPr>
                <w:sz w:val="20"/>
                <w:szCs w:val="20"/>
              </w:rPr>
              <w:t xml:space="preserve">Living museum, small-group debates, Youth4Values presentation</w:t>
            </w:r>
            <w:r/>
          </w:p>
        </w:tc>
      </w:tr>
      <w:tr>
        <w:trPr/>
        <w:tc>
          <w:tcPr>
            <w:tcBorders/>
            <w:tcMar>
              <w:left w:w="120" w:type="dxa"/>
              <w:top w:w="100" w:type="dxa"/>
              <w:right w:w="120" w:type="dxa"/>
              <w:bottom w:w="100" w:type="dxa"/>
            </w:tcMar>
            <w:tcW w:w="3120" w:type="dxa"/>
          </w:tcPr>
          <w:p>
            <w:pPr>
              <w:pBdr/>
              <w:spacing/>
              <w:ind/>
              <w:rPr/>
            </w:pPr>
            <w:r>
              <w:rPr>
                <w:sz w:val="20"/>
                <w:szCs w:val="20"/>
              </w:rPr>
              <w:t xml:space="preserve">Main critique</w:t>
            </w:r>
            <w:r/>
          </w:p>
        </w:tc>
        <w:tc>
          <w:tcPr>
            <w:tcBorders/>
            <w:tcMar>
              <w:left w:w="120" w:type="dxa"/>
              <w:top w:w="100" w:type="dxa"/>
              <w:right w:w="120" w:type="dxa"/>
              <w:bottom w:w="100" w:type="dxa"/>
            </w:tcMar>
            <w:tcW w:w="6240" w:type="dxa"/>
          </w:tcPr>
          <w:p>
            <w:pPr>
              <w:pBdr/>
              <w:spacing/>
              <w:ind/>
              <w:rPr/>
            </w:pPr>
            <w:r>
              <w:rPr>
                <w:sz w:val="20"/>
                <w:szCs w:val="20"/>
              </w:rPr>
              <w:t xml:space="preserve">Group size too small / wanted more time and participants</w:t>
            </w:r>
            <w:r/>
          </w:p>
        </w:tc>
      </w:tr>
      <w:tr>
        <w:trPr/>
        <w:tc>
          <w:tcPr>
            <w:shd w:val="clear" w:color="auto" w:fill="eaf1f4"/>
            <w:tcBorders/>
            <w:tcMar>
              <w:left w:w="120" w:type="dxa"/>
              <w:top w:w="100" w:type="dxa"/>
              <w:right w:w="120" w:type="dxa"/>
              <w:bottom w:w="100" w:type="dxa"/>
            </w:tcMar>
            <w:tcW w:w="3120" w:type="dxa"/>
          </w:tcPr>
          <w:p>
            <w:pPr>
              <w:pBdr/>
              <w:spacing/>
              <w:ind/>
              <w:rPr/>
            </w:pPr>
            <w:r>
              <w:rPr>
                <w:sz w:val="20"/>
                <w:szCs w:val="20"/>
              </w:rPr>
              <w:t xml:space="preserve">Facilitation</w:t>
            </w:r>
            <w:r/>
          </w:p>
        </w:tc>
        <w:tc>
          <w:tcPr>
            <w:shd w:val="clear" w:color="auto" w:fill="eaf1f4"/>
            <w:tcBorders/>
            <w:tcMar>
              <w:left w:w="120" w:type="dxa"/>
              <w:top w:w="100" w:type="dxa"/>
              <w:right w:w="120" w:type="dxa"/>
              <w:bottom w:w="100" w:type="dxa"/>
            </w:tcMar>
            <w:tcW w:w="6240" w:type="dxa"/>
          </w:tcPr>
          <w:p>
            <w:pPr>
              <w:pBdr/>
              <w:spacing/>
              <w:ind/>
              <w:rPr/>
            </w:pPr>
            <w:r>
              <w:rPr>
                <w:sz w:val="20"/>
                <w:szCs w:val="20"/>
              </w:rPr>
              <w:t xml:space="preserve">Jana (recent sessions) and Mingo (earlier sessions) both rated very highly</w:t>
            </w:r>
            <w:r/>
          </w:p>
        </w:tc>
      </w:tr>
      <w:tr>
        <w:trPr/>
        <w:tc>
          <w:tcPr>
            <w:tcBorders/>
            <w:tcMar>
              <w:left w:w="120" w:type="dxa"/>
              <w:top w:w="100" w:type="dxa"/>
              <w:right w:w="120" w:type="dxa"/>
              <w:bottom w:w="100" w:type="dxa"/>
            </w:tcMar>
            <w:tcW w:w="3120" w:type="dxa"/>
          </w:tcPr>
          <w:p>
            <w:pPr>
              <w:pBdr/>
              <w:spacing/>
              <w:ind/>
              <w:rPr/>
            </w:pPr>
            <w:r>
              <w:rPr>
                <w:sz w:val="20"/>
                <w:szCs w:val="20"/>
              </w:rPr>
              <w:t xml:space="preserve">Suggested follow-up</w:t>
            </w:r>
            <w:r/>
          </w:p>
        </w:tc>
        <w:tc>
          <w:tcPr>
            <w:tcBorders/>
            <w:tcMar>
              <w:left w:w="120" w:type="dxa"/>
              <w:top w:w="100" w:type="dxa"/>
              <w:right w:w="120" w:type="dxa"/>
              <w:bottom w:w="100" w:type="dxa"/>
            </w:tcMar>
            <w:tcW w:w="6240" w:type="dxa"/>
          </w:tcPr>
          <w:p>
            <w:pPr>
              <w:pBdr/>
              <w:spacing/>
              <w:ind/>
              <w:rPr/>
            </w:pPr>
            <w:r>
              <w:rPr>
                <w:sz w:val="20"/>
                <w:szCs w:val="20"/>
              </w:rPr>
              <w:t xml:space="preserve">Organise regular/periodic gatherings to continue the reflection</w:t>
            </w:r>
            <w:r/>
          </w:p>
        </w:tc>
      </w:tr>
    </w:tbl>
    <w:p w14:paraId="723C2450">
      <w:pPr>
        <w:pBdr/>
        <w:spacing/>
        <w:ind/>
        <w:rPr/>
      </w:pPr>
      <w:r/>
    </w:p>
    <w:sectPr>
      <w:headerReference w:type="default" r:id="rId9"/>
      <w:footnotePr/>
      <w:endnotePr/>
      <w:type w:val="nextPage"/>
      <w:pgSz w:h="15840" w:orient="portrait" w:w="12240"/>
      <w:pgMar w:top="1440" w:right="1440" w:bottom="1440" w:left="1440" w:header="708" w:footer="708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5AB8FB4D">
    <w:pPr>
      <w:pStyle w:val="176"/>
      <w:pBdr/>
      <w:tabs>
        <w:tab w:val="left" w:leader="none" w:pos="2252"/>
        <w:tab w:val="clear" w:leader="none" w:pos="4844"/>
        <w:tab w:val="clear" w:leader="none" w:pos="9689"/>
      </w:tabs>
      <w:spacing/>
      <w:ind/>
      <w:jc w:val="center"/>
      <w:rPr>
        <w:b/>
        <w:bCs/>
        <w:color w:val="002060"/>
        <w:sz w:val="36"/>
        <w:szCs w:val="36"/>
      </w:rPr>
    </w:pPr>
    <w:r>
      <w:rPr>
        <w:b/>
        <w:bCs/>
        <w:color w:val="002060"/>
        <w:sz w:val="36"/>
        <w:szCs w:val="36"/>
      </w:rPr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5200" distR="115200" simplePos="0" relativeHeight="3072" behindDoc="1" locked="0" layoutInCell="1" allowOverlap="1">
              <wp:simplePos x="0" y="0"/>
              <wp:positionH relativeFrom="column">
                <wp:posOffset>5000907</wp:posOffset>
              </wp:positionH>
              <wp:positionV relativeFrom="paragraph">
                <wp:posOffset>-449253</wp:posOffset>
              </wp:positionV>
              <wp:extent cx="867290" cy="914073"/>
              <wp:effectExtent l="0" t="0" r="0" b="0"/>
              <wp:wrapNone/>
              <wp:docPr id="1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57258577" name="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 flipH="0" flipV="0">
                        <a:off x="0" y="0"/>
                        <a:ext cx="867289" cy="91407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3072;o:allowoverlap:true;o:allowincell:true;mso-position-horizontal-relative:text;margin-left:393.77pt;mso-position-horizontal:absolute;mso-position-vertical-relative:text;margin-top:-35.37pt;mso-position-vertical:absolute;width:68.29pt;height:71.97pt;mso-wrap-distance-left:9.07pt;mso-wrap-distance-top:0.00pt;mso-wrap-distance-right:9.07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b/>
        <w:bCs/>
        <w:color w:val="002060"/>
        <w:sz w:val="36"/>
        <w:szCs w:val="36"/>
      </w:rPr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5200" distR="115200" simplePos="0" relativeHeight="2048" behindDoc="1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-376365</wp:posOffset>
              </wp:positionV>
              <wp:extent cx="845807" cy="841185"/>
              <wp:effectExtent l="0" t="0" r="0" b="0"/>
              <wp:wrapNone/>
              <wp:docPr id="2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9547988" name="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 flipH="0" flipV="0">
                        <a:off x="0" y="0"/>
                        <a:ext cx="845806" cy="84118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2048;o:allowoverlap:true;o:allowincell:true;mso-position-horizontal-relative:text;margin-left:0.00pt;mso-position-horizontal:absolute;mso-position-vertical-relative:text;margin-top:-29.64pt;mso-position-vertical:absolute;width:66.60pt;height:66.24pt;mso-wrap-distance-left:9.07pt;mso-wrap-distance-top:0.00pt;mso-wrap-distance-right:9.07pt;mso-wrap-distance-bottom:0.00pt;z-index:1;" stroked="false">
              <v:imagedata r:id="rId2" o:title=""/>
              <o:lock v:ext="edit" rotation="t"/>
            </v:shape>
          </w:pict>
        </mc:Fallback>
      </mc:AlternateContent>
    </w:r>
    <w:r>
      <w:rPr>
        <w:b/>
        <w:bCs/>
        <w:color w:val="002060"/>
        <w:sz w:val="36"/>
        <w:szCs w:val="36"/>
      </w:rPr>
    </w:r>
    <w:r>
      <w:rPr>
        <w:b/>
        <w:bCs/>
        <w:color w:val="002060"/>
        <w:sz w:val="36"/>
        <w:szCs w:val="36"/>
        <w:lang w:val="es-ES"/>
      </w:rPr>
      <w:t xml:space="preserve">Youth4Values Project       </w:t>
    </w:r>
    <w:r>
      <w:rPr>
        <w:b/>
        <w:bCs/>
        <w:color w:val="002060"/>
        <w:sz w:val="36"/>
        <w:szCs w:val="36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●"/>
      <w:numFmt w:val="bullet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/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/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/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/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●"/>
      <w:numFmt w:val="bullet"/>
      <w:pPr>
        <w:pBdr/>
        <w:spacing/>
        <w:ind w:hanging="360" w:left="5760"/>
      </w:pPr>
      <w:rPr/>
      <w:start w:val="1"/>
      <w:suff w:val="tab"/>
    </w:lvl>
    <w:lvl w:ilvl="8">
      <w:isLgl w:val="false"/>
      <w:lvlJc w:val="left"/>
      <w:lvlText w:val="●"/>
      <w:numFmt w:val="bullet"/>
      <w:pPr>
        <w:pBdr/>
        <w:spacing/>
        <w:ind w:hanging="36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•"/>
      <w:numFmt w:val="bullet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color w:val="262626"/>
        <w:sz w:val="22"/>
        <w:szCs w:val="22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 w:default="1">
    <w:name w:val="Normal"/>
    <w:qFormat/>
    <w:pPr>
      <w:pBdr/>
      <w:spacing/>
      <w:ind/>
    </w:pPr>
  </w:style>
  <w:style w:type="paragraph" w:styleId="145">
    <w:name w:val="Heading 7"/>
    <w:basedOn w:val="138"/>
    <w:next w:val="138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138"/>
    <w:next w:val="138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138"/>
    <w:next w:val="138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148"/>
    <w:link w:val="72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72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71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71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71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71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148"/>
    <w:link w:val="70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138"/>
    <w:next w:val="138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138"/>
    <w:next w:val="138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138"/>
    <w:next w:val="138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138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138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138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138"/>
    <w:next w:val="13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138"/>
    <w:next w:val="138"/>
    <w:uiPriority w:val="39"/>
    <w:unhideWhenUsed/>
    <w:pPr>
      <w:pBdr/>
      <w:spacing w:after="100"/>
      <w:ind/>
    </w:pPr>
  </w:style>
  <w:style w:type="paragraph" w:styleId="190">
    <w:name w:val="toc 2"/>
    <w:basedOn w:val="138"/>
    <w:next w:val="138"/>
    <w:uiPriority w:val="39"/>
    <w:unhideWhenUsed/>
    <w:pPr>
      <w:pBdr/>
      <w:spacing w:after="100"/>
      <w:ind w:left="220"/>
    </w:pPr>
  </w:style>
  <w:style w:type="paragraph" w:styleId="191">
    <w:name w:val="toc 3"/>
    <w:basedOn w:val="138"/>
    <w:next w:val="138"/>
    <w:uiPriority w:val="39"/>
    <w:unhideWhenUsed/>
    <w:pPr>
      <w:pBdr/>
      <w:spacing w:after="100"/>
      <w:ind w:left="440"/>
    </w:pPr>
  </w:style>
  <w:style w:type="paragraph" w:styleId="192">
    <w:name w:val="toc 4"/>
    <w:basedOn w:val="138"/>
    <w:next w:val="138"/>
    <w:uiPriority w:val="39"/>
    <w:unhideWhenUsed/>
    <w:pPr>
      <w:pBdr/>
      <w:spacing w:after="100"/>
      <w:ind w:left="660"/>
    </w:pPr>
  </w:style>
  <w:style w:type="paragraph" w:styleId="193">
    <w:name w:val="toc 5"/>
    <w:basedOn w:val="138"/>
    <w:next w:val="138"/>
    <w:uiPriority w:val="39"/>
    <w:unhideWhenUsed/>
    <w:pPr>
      <w:pBdr/>
      <w:spacing w:after="100"/>
      <w:ind w:left="880"/>
    </w:pPr>
  </w:style>
  <w:style w:type="paragraph" w:styleId="194">
    <w:name w:val="toc 6"/>
    <w:basedOn w:val="138"/>
    <w:next w:val="138"/>
    <w:uiPriority w:val="39"/>
    <w:unhideWhenUsed/>
    <w:pPr>
      <w:pBdr/>
      <w:spacing w:after="100"/>
      <w:ind w:left="1100"/>
    </w:pPr>
  </w:style>
  <w:style w:type="paragraph" w:styleId="195">
    <w:name w:val="toc 7"/>
    <w:basedOn w:val="138"/>
    <w:next w:val="138"/>
    <w:uiPriority w:val="39"/>
    <w:unhideWhenUsed/>
    <w:pPr>
      <w:pBdr/>
      <w:spacing w:after="100"/>
      <w:ind w:left="1320"/>
    </w:pPr>
  </w:style>
  <w:style w:type="paragraph" w:styleId="196">
    <w:name w:val="toc 8"/>
    <w:basedOn w:val="138"/>
    <w:next w:val="138"/>
    <w:uiPriority w:val="39"/>
    <w:unhideWhenUsed/>
    <w:pPr>
      <w:pBdr/>
      <w:spacing w:after="100"/>
      <w:ind w:left="1540"/>
    </w:pPr>
  </w:style>
  <w:style w:type="paragraph" w:styleId="197">
    <w:name w:val="toc 9"/>
    <w:basedOn w:val="138"/>
    <w:next w:val="138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138"/>
    <w:next w:val="138"/>
    <w:uiPriority w:val="99"/>
    <w:unhideWhenUsed/>
    <w:pPr>
      <w:pBdr/>
      <w:spacing w:after="0" w:afterAutospacing="0"/>
      <w:ind/>
    </w:pPr>
  </w:style>
  <w:style w:type="paragraph" w:styleId="707">
    <w:name w:val="Title"/>
    <w:qFormat/>
    <w:pPr>
      <w:pBdr/>
      <w:spacing/>
      <w:ind/>
    </w:pPr>
    <w:rPr>
      <w:sz w:val="56"/>
      <w:szCs w:val="56"/>
    </w:rPr>
  </w:style>
  <w:style w:type="paragraph" w:styleId="710">
    <w:name w:val="Heading 3"/>
    <w:qFormat/>
    <w:pPr>
      <w:pBdr/>
      <w:spacing/>
      <w:ind/>
    </w:pPr>
    <w:rPr>
      <w:color w:val="1f4d78"/>
      <w:sz w:val="24"/>
      <w:szCs w:val="24"/>
    </w:rPr>
  </w:style>
  <w:style w:type="paragraph" w:styleId="711">
    <w:name w:val="Heading 4"/>
    <w:qFormat/>
    <w:pPr>
      <w:pBdr/>
      <w:spacing/>
      <w:ind/>
    </w:pPr>
    <w:rPr>
      <w:i/>
      <w:iCs/>
      <w:color w:val="2e74b5"/>
    </w:rPr>
  </w:style>
  <w:style w:type="paragraph" w:styleId="712">
    <w:name w:val="Heading 5"/>
    <w:qFormat/>
    <w:pPr>
      <w:pBdr/>
      <w:spacing/>
      <w:ind/>
    </w:pPr>
    <w:rPr>
      <w:color w:val="2e74b5"/>
    </w:rPr>
  </w:style>
  <w:style w:type="paragraph" w:styleId="713">
    <w:name w:val="Heading 6"/>
    <w:qFormat/>
    <w:pPr>
      <w:pBdr/>
      <w:spacing/>
      <w:ind/>
    </w:pPr>
    <w:rPr>
      <w:color w:val="1f4d78"/>
    </w:rPr>
  </w:style>
  <w:style w:type="paragraph" w:styleId="714">
    <w:name w:val="Strong"/>
    <w:qFormat/>
    <w:pPr>
      <w:pBdr/>
      <w:spacing/>
      <w:ind/>
    </w:pPr>
    <w:rPr>
      <w:b/>
      <w:bCs/>
    </w:rPr>
  </w:style>
  <w:style w:type="paragraph" w:styleId="715">
    <w:name w:val="List Paragraph"/>
    <w:qFormat/>
    <w:pPr>
      <w:pBdr/>
      <w:spacing/>
      <w:ind/>
    </w:pPr>
  </w:style>
  <w:style w:type="character" w:styleId="716">
    <w:name w:val="Hyperlink"/>
    <w:uiPriority w:val="99"/>
    <w:unhideWhenUsed/>
    <w:pPr>
      <w:pBdr/>
      <w:spacing/>
      <w:ind/>
    </w:pPr>
    <w:rPr>
      <w:color w:val="0563c1"/>
      <w:u w:val="single"/>
    </w:rPr>
  </w:style>
  <w:style w:type="character" w:styleId="717">
    <w:name w:val="foot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718">
    <w:name w:val="footnote text"/>
    <w:link w:val="71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719">
    <w:name w:val="Footnote Text Char"/>
    <w:link w:val="718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720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721">
    <w:name w:val="endnote text"/>
    <w:link w:val="72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722">
    <w:name w:val="Endnote Text Char"/>
    <w:link w:val="721"/>
    <w:uiPriority w:val="99"/>
    <w:semiHidden/>
    <w:unhideWhenUsed/>
    <w:pPr>
      <w:pBdr/>
      <w:spacing/>
      <w:ind/>
    </w:pPr>
    <w:rPr>
      <w:sz w:val="20"/>
      <w:szCs w:val="20"/>
    </w:rPr>
  </w:style>
  <w:style w:type="paragraph" w:styleId="723">
    <w:name w:val="Heading 1"/>
    <w:qFormat/>
    <w:pPr>
      <w:pBdr/>
      <w:spacing w:after="180" w:before="360"/>
      <w:ind/>
      <w:outlineLvl w:val="0"/>
    </w:pPr>
    <w:rPr>
      <w:rFonts w:ascii="Arial" w:hAnsi="Arial" w:eastAsia="Arial" w:cs="Arial"/>
      <w:b/>
      <w:bCs/>
      <w:color w:val="1f4e5f"/>
      <w:sz w:val="32"/>
      <w:szCs w:val="32"/>
    </w:rPr>
  </w:style>
  <w:style w:type="paragraph" w:styleId="724">
    <w:name w:val="Heading 2"/>
    <w:qFormat/>
    <w:pPr>
      <w:pBdr/>
      <w:spacing w:after="140" w:before="280"/>
      <w:ind/>
      <w:outlineLvl w:val="1"/>
    </w:pPr>
    <w:rPr>
      <w:rFonts w:ascii="Arial" w:hAnsi="Arial" w:eastAsia="Arial" w:cs="Arial"/>
      <w:b/>
      <w:bCs/>
      <w:color w:val="1f4e5f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ONLYOFFICE/9.4.0.129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revision>2</cp:revision>
  <dcterms:created xsi:type="dcterms:W3CDTF">2026-06-30T08:28:51Z</dcterms:created>
  <dcterms:modified xsi:type="dcterms:W3CDTF">2026-06-30T11:04:27Z</dcterms:modified>
</cp:coreProperties>
</file>